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FFCF" w14:textId="579B530A" w:rsidR="00735871" w:rsidRPr="004C319F" w:rsidRDefault="0019438B" w:rsidP="0019438B">
      <w:pPr>
        <w:rPr>
          <w:color w:val="0D0D0D" w:themeColor="text1" w:themeTint="F2"/>
        </w:rPr>
      </w:pPr>
      <w:r w:rsidRPr="004C319F">
        <w:rPr>
          <w:rFonts w:ascii="Times New Roman" w:hAnsi="Times New Roman" w:cs="Times New Roman"/>
          <w:b/>
          <w:color w:val="0D0D0D" w:themeColor="text1" w:themeTint="F2"/>
          <w:sz w:val="24"/>
          <w:szCs w:val="24"/>
          <w:lang w:val="en-US"/>
        </w:rPr>
        <w:t xml:space="preserve">Meeting Date: </w:t>
      </w:r>
      <w:r w:rsidR="00735871" w:rsidRPr="004C319F">
        <w:rPr>
          <w:rFonts w:ascii="Times New Roman" w:hAnsi="Times New Roman" w:cs="Times New Roman"/>
          <w:b/>
          <w:color w:val="0D0D0D" w:themeColor="text1" w:themeTint="F2"/>
          <w:sz w:val="24"/>
          <w:szCs w:val="24"/>
          <w:lang w:val="en-US"/>
        </w:rPr>
        <w:t>17/12/2024</w:t>
      </w:r>
      <w:r w:rsidR="00735871" w:rsidRPr="004C319F">
        <w:rPr>
          <w:rFonts w:ascii="Times New Roman" w:hAnsi="Times New Roman" w:cs="Times New Roman"/>
          <w:b/>
          <w:color w:val="0D0D0D" w:themeColor="text1" w:themeTint="F2"/>
          <w:sz w:val="24"/>
          <w:szCs w:val="24"/>
          <w:lang w:val="en-US"/>
        </w:rPr>
        <w:tab/>
      </w:r>
      <w:r w:rsidR="0016297D" w:rsidRPr="004C319F">
        <w:rPr>
          <w:rFonts w:ascii="Times New Roman" w:hAnsi="Times New Roman" w:cs="Times New Roman"/>
          <w:b/>
          <w:color w:val="0D0D0D" w:themeColor="text1" w:themeTint="F2"/>
          <w:sz w:val="24"/>
          <w:szCs w:val="24"/>
        </w:rPr>
        <w:tab/>
      </w:r>
      <w:r w:rsidR="003E04CC" w:rsidRPr="004C319F">
        <w:rPr>
          <w:rFonts w:ascii="Times New Roman" w:hAnsi="Times New Roman" w:cs="Times New Roman"/>
          <w:b/>
          <w:color w:val="0D0D0D" w:themeColor="text1" w:themeTint="F2"/>
          <w:sz w:val="24"/>
          <w:szCs w:val="24"/>
        </w:rPr>
        <w:tab/>
      </w:r>
      <w:r w:rsidR="003E04CC" w:rsidRPr="004C319F">
        <w:rPr>
          <w:rFonts w:ascii="Times New Roman" w:hAnsi="Times New Roman" w:cs="Times New Roman"/>
          <w:b/>
          <w:color w:val="0D0D0D" w:themeColor="text1" w:themeTint="F2"/>
          <w:sz w:val="24"/>
          <w:szCs w:val="24"/>
        </w:rPr>
        <w:tab/>
        <w:t xml:space="preserve">      </w:t>
      </w:r>
      <w:r w:rsidR="00503DAB" w:rsidRPr="004C319F">
        <w:rPr>
          <w:rFonts w:ascii="Times New Roman" w:hAnsi="Times New Roman" w:cs="Times New Roman"/>
          <w:b/>
          <w:color w:val="0D0D0D" w:themeColor="text1" w:themeTint="F2"/>
          <w:sz w:val="24"/>
          <w:szCs w:val="24"/>
        </w:rPr>
        <w:t xml:space="preserve">      </w:t>
      </w:r>
      <w:r w:rsidR="00E0088E">
        <w:rPr>
          <w:rFonts w:ascii="Times New Roman" w:hAnsi="Times New Roman" w:cs="Times New Roman"/>
          <w:b/>
          <w:color w:val="0D0D0D" w:themeColor="text1" w:themeTint="F2"/>
          <w:sz w:val="24"/>
          <w:szCs w:val="24"/>
        </w:rPr>
        <w:t xml:space="preserve">                               </w:t>
      </w:r>
      <w:r w:rsidR="00503DAB" w:rsidRPr="004C319F">
        <w:rPr>
          <w:rFonts w:ascii="Times New Roman" w:hAnsi="Times New Roman" w:cs="Times New Roman"/>
          <w:b/>
          <w:color w:val="0D0D0D" w:themeColor="text1" w:themeTint="F2"/>
          <w:sz w:val="24"/>
          <w:szCs w:val="24"/>
        </w:rPr>
        <w:t xml:space="preserve"> </w:t>
      </w:r>
      <w:r w:rsidRPr="004C319F">
        <w:rPr>
          <w:rFonts w:ascii="Times New Roman" w:hAnsi="Times New Roman" w:cs="Times New Roman"/>
          <w:b/>
          <w:color w:val="0D0D0D" w:themeColor="text1" w:themeTint="F2"/>
          <w:sz w:val="24"/>
          <w:szCs w:val="24"/>
          <w:lang w:val="en-US"/>
        </w:rPr>
        <w:t xml:space="preserve">Meeting No: </w:t>
      </w:r>
      <w:r w:rsidR="00735871" w:rsidRPr="004C319F">
        <w:rPr>
          <w:rFonts w:ascii="Times New Roman" w:hAnsi="Times New Roman" w:cs="Times New Roman"/>
          <w:b/>
          <w:color w:val="0D0D0D" w:themeColor="text1" w:themeTint="F2"/>
          <w:sz w:val="24"/>
          <w:szCs w:val="24"/>
          <w:lang w:val="en-US"/>
        </w:rPr>
        <w:t>2</w:t>
      </w:r>
      <w:r w:rsidRPr="004C319F">
        <w:rPr>
          <w:rFonts w:ascii="Times New Roman" w:hAnsi="Times New Roman" w:cs="Times New Roman"/>
          <w:b/>
          <w:color w:val="0D0D0D" w:themeColor="text1" w:themeTint="F2"/>
          <w:sz w:val="24"/>
          <w:szCs w:val="24"/>
          <w:lang w:val="en-US"/>
        </w:rPr>
        <w:br/>
      </w:r>
    </w:p>
    <w:p w14:paraId="15F3615F" w14:textId="6C04E924" w:rsidR="00735871" w:rsidRPr="004C319F" w:rsidRDefault="00735871" w:rsidP="00735871">
      <w:p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A meeting was held on 17.12.2024 at 11:00 at Muğla Training and Research Hospital with faculty members of the Department of Nursing and representatives from the Directorate of Health Care Services of Muğla Training and Research Hospital, education unit coordinators, and clinical charge nurses, regarding clinical practices. The meeting was chaired by the Head of the Education Commission, Assoc. Prof. Dr. Gülşah KÖSE.</w:t>
      </w:r>
    </w:p>
    <w:p w14:paraId="34EB43B1" w14:textId="77777777" w:rsidR="00735871" w:rsidRPr="004C319F" w:rsidRDefault="00735871" w:rsidP="00735871">
      <w:p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During the meeting, representatives from the Directorate of Health Care Services, education unit coordinators, and clini</w:t>
      </w:r>
      <w:r w:rsidR="004C319F" w:rsidRPr="004C319F">
        <w:rPr>
          <w:rFonts w:ascii="Times New Roman" w:hAnsi="Times New Roman" w:cs="Times New Roman"/>
          <w:color w:val="0D0D0D" w:themeColor="text1" w:themeTint="F2"/>
          <w:sz w:val="24"/>
          <w:szCs w:val="24"/>
        </w:rPr>
        <w:t>cal charge nurses stated that;</w:t>
      </w:r>
    </w:p>
    <w:p w14:paraId="4090B066"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The number of students assigned to clinical units is high, which causes difficulties in achieving clinical practice objectives,</w:t>
      </w:r>
    </w:p>
    <w:p w14:paraId="09CBFD65"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Students who are willing and dedicated to work in intensive care units should be planned accordingly,</w:t>
      </w:r>
    </w:p>
    <w:p w14:paraId="71C4B1FA"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Ensuring that students continue their clinical practice in line with clearly defined expectations,</w:t>
      </w:r>
    </w:p>
    <w:p w14:paraId="21ECBD0E"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Ensuring students’ participation in shift handovers during clinical practice,</w:t>
      </w:r>
    </w:p>
    <w:p w14:paraId="121D9808"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Demonstrating sensitivity to patient rights and safety during clinical practice,</w:t>
      </w:r>
    </w:p>
    <w:p w14:paraId="145E2B7F"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Clinical and intensive care nurses should show due diligence in monitoring students’ absenteeism during clinical practice,</w:t>
      </w:r>
    </w:p>
    <w:p w14:paraId="7BB770A3"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Maintaining communication between clinical and intensive care nurses and faculty members, and working towards improving students’ communication with the healthcare team and patients,</w:t>
      </w:r>
    </w:p>
    <w:p w14:paraId="476924AF"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Emphasizing the importance of clinical and intensive care nurses in students’ development and education, and the necessity of su</w:t>
      </w:r>
      <w:r w:rsidR="004C319F" w:rsidRPr="004C319F">
        <w:rPr>
          <w:rFonts w:ascii="Times New Roman" w:hAnsi="Times New Roman" w:cs="Times New Roman"/>
          <w:color w:val="0D0D0D" w:themeColor="text1" w:themeTint="F2"/>
          <w:sz w:val="24"/>
          <w:szCs w:val="24"/>
        </w:rPr>
        <w:t>pporting students accordingly.</w:t>
      </w:r>
    </w:p>
    <w:p w14:paraId="27B13700" w14:textId="77777777" w:rsidR="00735871" w:rsidRPr="004C319F" w:rsidRDefault="00735871" w:rsidP="00735871">
      <w:pPr>
        <w:ind w:left="360"/>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In line with these views;</w:t>
      </w:r>
    </w:p>
    <w:p w14:paraId="5497C447" w14:textId="77777777" w:rsidR="00735871" w:rsidRPr="004C319F" w:rsidRDefault="00735871" w:rsidP="00735871">
      <w:pPr>
        <w:pStyle w:val="ListParagraph"/>
        <w:numPr>
          <w:ilvl w:val="0"/>
          <w:numId w:val="10"/>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It was stated that due to the high number of students and limited clinical practice areas, difficulties are experienced in reducing the number of students assigned to clinical units,</w:t>
      </w:r>
    </w:p>
    <w:p w14:paraId="5D51CA5B"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It was agreed that sensitivity would be shown in planning students who are willing and dedicated to work in intensive care units,</w:t>
      </w:r>
    </w:p>
    <w:p w14:paraId="25CCFAD9"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It was stated that prior to the commencement of clinical practice, meetings would be planned with clinical and intensive care nurses and the education unit to discuss defined expectations fo</w:t>
      </w:r>
      <w:r w:rsidR="004C319F" w:rsidRPr="004C319F">
        <w:rPr>
          <w:rFonts w:ascii="Times New Roman" w:hAnsi="Times New Roman" w:cs="Times New Roman"/>
          <w:color w:val="0D0D0D" w:themeColor="text1" w:themeTint="F2"/>
          <w:sz w:val="24"/>
          <w:szCs w:val="24"/>
        </w:rPr>
        <w:t>r students’ clinical practice,</w:t>
      </w:r>
    </w:p>
    <w:p w14:paraId="43C01EFD"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It was emphasized that students’ participation in shift handovers is among the objectives of clinical practice, therefore both faculty members and clinical and intensive care nurses should demonstrate due diligence in this matter,</w:t>
      </w:r>
    </w:p>
    <w:p w14:paraId="3C71A6AD" w14:textId="77777777" w:rsidR="00735871" w:rsidRPr="004C319F" w:rsidRDefault="00735871" w:rsidP="00735871">
      <w:pPr>
        <w:pStyle w:val="ListParagraph"/>
        <w:numPr>
          <w:ilvl w:val="0"/>
          <w:numId w:val="8"/>
        </w:num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It was emphasized that both faculty members and clinical and intensive care nurses should demonstrate due diligence to improve student–patient–team communication,</w:t>
      </w:r>
    </w:p>
    <w:p w14:paraId="6F1421B9" w14:textId="77777777" w:rsidR="00735871" w:rsidRPr="004C319F" w:rsidRDefault="00735871" w:rsidP="00735871">
      <w:pPr>
        <w:pStyle w:val="ListParagraph"/>
        <w:numPr>
          <w:ilvl w:val="0"/>
          <w:numId w:val="8"/>
        </w:numPr>
        <w:jc w:val="both"/>
        <w:rPr>
          <w:color w:val="0D0D0D" w:themeColor="text1" w:themeTint="F2"/>
        </w:rPr>
      </w:pPr>
      <w:r w:rsidRPr="004C319F">
        <w:rPr>
          <w:rFonts w:ascii="Times New Roman" w:hAnsi="Times New Roman" w:cs="Times New Roman"/>
          <w:color w:val="0D0D0D" w:themeColor="text1" w:themeTint="F2"/>
          <w:sz w:val="24"/>
          <w:szCs w:val="24"/>
        </w:rPr>
        <w:t xml:space="preserve">It was agreed that it is important for both faculty members and clinical and intensive care nurses to demonstrate due diligence in supporting the development of students’ clinical knowledge and skills and promoting continuous learning. Consensus was </w:t>
      </w:r>
      <w:r w:rsidRPr="004C319F">
        <w:rPr>
          <w:rFonts w:ascii="Times New Roman" w:hAnsi="Times New Roman" w:cs="Times New Roman"/>
          <w:color w:val="0D0D0D" w:themeColor="text1" w:themeTint="F2"/>
          <w:sz w:val="24"/>
          <w:szCs w:val="24"/>
        </w:rPr>
        <w:lastRenderedPageBreak/>
        <w:t>reached among the faculty members of the Department of Nursing.</w:t>
      </w:r>
      <w:r w:rsidRPr="004C319F">
        <w:rPr>
          <w:color w:val="0D0D0D" w:themeColor="text1" w:themeTint="F2"/>
        </w:rPr>
        <w:br/>
      </w:r>
    </w:p>
    <w:p w14:paraId="725E9F1B" w14:textId="77777777" w:rsidR="0016297D" w:rsidRPr="004C319F" w:rsidRDefault="0019438B" w:rsidP="0016297D">
      <w:pPr>
        <w:spacing w:before="120" w:after="120"/>
        <w:rPr>
          <w:rFonts w:ascii="Times New Roman" w:hAnsi="Times New Roman" w:cs="Times New Roman"/>
          <w:b/>
          <w:color w:val="0D0D0D" w:themeColor="text1" w:themeTint="F2"/>
          <w:sz w:val="24"/>
          <w:szCs w:val="24"/>
          <w:u w:val="single"/>
        </w:rPr>
      </w:pPr>
      <w:r w:rsidRPr="004C319F">
        <w:rPr>
          <w:rFonts w:ascii="Times New Roman" w:hAnsi="Times New Roman" w:cs="Times New Roman"/>
          <w:b/>
          <w:color w:val="0D0D0D" w:themeColor="text1" w:themeTint="F2"/>
          <w:sz w:val="24"/>
          <w:szCs w:val="24"/>
          <w:u w:val="single"/>
          <w:lang w:val="en-US"/>
        </w:rPr>
        <w:t>ATTENDEES</w:t>
      </w:r>
      <w:r w:rsidR="0016297D" w:rsidRPr="004C319F">
        <w:rPr>
          <w:rFonts w:ascii="Times New Roman" w:hAnsi="Times New Roman" w:cs="Times New Roman"/>
          <w:b/>
          <w:color w:val="0D0D0D" w:themeColor="text1" w:themeTint="F2"/>
          <w:sz w:val="24"/>
          <w:szCs w:val="24"/>
          <w:u w:val="single"/>
        </w:rPr>
        <w:t>:</w:t>
      </w:r>
      <w:r w:rsidR="00EA3EEA" w:rsidRPr="004C319F">
        <w:rPr>
          <w:rFonts w:ascii="Times New Roman" w:hAnsi="Times New Roman" w:cs="Times New Roman"/>
          <w:b/>
          <w:color w:val="0D0D0D" w:themeColor="text1" w:themeTint="F2"/>
          <w:sz w:val="24"/>
          <w:szCs w:val="24"/>
          <w:u w:val="single"/>
        </w:rPr>
        <w:t xml:space="preserve">  </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4C319F" w:rsidRPr="004C319F" w14:paraId="53614476" w14:textId="77777777" w:rsidTr="00586A0C">
        <w:tc>
          <w:tcPr>
            <w:tcW w:w="5382" w:type="dxa"/>
          </w:tcPr>
          <w:p w14:paraId="330AB40A"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Assoc. Prof. Dr. Gülşah KÖSE</w:t>
            </w:r>
          </w:p>
        </w:tc>
        <w:tc>
          <w:tcPr>
            <w:tcW w:w="3680" w:type="dxa"/>
          </w:tcPr>
          <w:p w14:paraId="3CA9A665" w14:textId="77777777" w:rsidR="00735871" w:rsidRPr="004C319F" w:rsidRDefault="007174DD" w:rsidP="00586A0C">
            <w:pPr>
              <w:spacing w:before="120"/>
              <w:jc w:val="both"/>
              <w:rPr>
                <w:rFonts w:ascii="Times New Roman" w:hAnsi="Times New Roman" w:cs="Times New Roman"/>
                <w:color w:val="0D0D0D" w:themeColor="text1" w:themeTint="F2"/>
                <w:sz w:val="24"/>
                <w:szCs w:val="24"/>
              </w:rPr>
            </w:pPr>
            <w:r w:rsidRPr="007174DD">
              <w:rPr>
                <w:rFonts w:ascii="Times New Roman" w:hAnsi="Times New Roman" w:cs="Times New Roman"/>
                <w:color w:val="0D0D0D" w:themeColor="text1" w:themeTint="F2"/>
                <w:sz w:val="24"/>
                <w:szCs w:val="24"/>
              </w:rPr>
              <w:t>Commission Chair</w:t>
            </w:r>
          </w:p>
        </w:tc>
      </w:tr>
      <w:tr w:rsidR="004C319F" w:rsidRPr="004C319F" w14:paraId="3C408FD5" w14:textId="77777777" w:rsidTr="00586A0C">
        <w:tc>
          <w:tcPr>
            <w:tcW w:w="5382" w:type="dxa"/>
          </w:tcPr>
          <w:p w14:paraId="558C3F8D"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Assoc. Prof. Dr. Ayşe KACAROĞLU VİCDAN</w:t>
            </w:r>
          </w:p>
        </w:tc>
        <w:tc>
          <w:tcPr>
            <w:tcW w:w="3680" w:type="dxa"/>
          </w:tcPr>
          <w:p w14:paraId="006EF884" w14:textId="77777777" w:rsidR="00735871" w:rsidRPr="004C319F" w:rsidRDefault="00E219C3" w:rsidP="00586A0C">
            <w:pPr>
              <w:spacing w:before="120"/>
              <w:jc w:val="both"/>
              <w:rPr>
                <w:rFonts w:ascii="Times New Roman" w:hAnsi="Times New Roman" w:cs="Times New Roman"/>
                <w:b/>
                <w:color w:val="0D0D0D" w:themeColor="text1" w:themeTint="F2"/>
                <w:sz w:val="24"/>
                <w:szCs w:val="24"/>
                <w:u w:val="single"/>
              </w:rPr>
            </w:pPr>
            <w:r w:rsidRPr="004C319F">
              <w:rPr>
                <w:rFonts w:ascii="Times New Roman" w:hAnsi="Times New Roman" w:cs="Times New Roman"/>
                <w:color w:val="0D0D0D" w:themeColor="text1" w:themeTint="F2"/>
                <w:sz w:val="24"/>
                <w:szCs w:val="24"/>
              </w:rPr>
              <w:t>Commission Member</w:t>
            </w:r>
          </w:p>
        </w:tc>
      </w:tr>
      <w:tr w:rsidR="004C319F" w:rsidRPr="004C319F" w14:paraId="05B0CF3C" w14:textId="77777777" w:rsidTr="00586A0C">
        <w:tc>
          <w:tcPr>
            <w:tcW w:w="5382" w:type="dxa"/>
          </w:tcPr>
          <w:p w14:paraId="13DABAD8"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Asst. Prof. Dr. Havva AKPINAR</w:t>
            </w:r>
          </w:p>
        </w:tc>
        <w:tc>
          <w:tcPr>
            <w:tcW w:w="3680" w:type="dxa"/>
          </w:tcPr>
          <w:p w14:paraId="493EB4F4" w14:textId="77777777" w:rsidR="00735871" w:rsidRPr="004C319F" w:rsidRDefault="00E219C3" w:rsidP="00586A0C">
            <w:pPr>
              <w:jc w:val="both"/>
              <w:rPr>
                <w:color w:val="0D0D0D" w:themeColor="text1" w:themeTint="F2"/>
              </w:rPr>
            </w:pPr>
            <w:r w:rsidRPr="004C319F">
              <w:rPr>
                <w:rFonts w:ascii="Times New Roman" w:hAnsi="Times New Roman" w:cs="Times New Roman"/>
                <w:color w:val="0D0D0D" w:themeColor="text1" w:themeTint="F2"/>
                <w:sz w:val="24"/>
                <w:szCs w:val="24"/>
              </w:rPr>
              <w:t>Commission Member</w:t>
            </w:r>
          </w:p>
        </w:tc>
      </w:tr>
      <w:tr w:rsidR="004C319F" w:rsidRPr="004C319F" w14:paraId="284D7E1B" w14:textId="77777777" w:rsidTr="00586A0C">
        <w:tc>
          <w:tcPr>
            <w:tcW w:w="5382" w:type="dxa"/>
          </w:tcPr>
          <w:p w14:paraId="6B0AD50F"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Res. Asst. Dr. Cansu GÜLER</w:t>
            </w:r>
          </w:p>
        </w:tc>
        <w:tc>
          <w:tcPr>
            <w:tcW w:w="3680" w:type="dxa"/>
          </w:tcPr>
          <w:p w14:paraId="199C9D5B" w14:textId="77777777" w:rsidR="00735871" w:rsidRPr="004C319F" w:rsidRDefault="00735871" w:rsidP="00586A0C">
            <w:pPr>
              <w:jc w:val="both"/>
              <w:rPr>
                <w:rFonts w:ascii="Times New Roman" w:hAnsi="Times New Roman" w:cs="Times New Roman"/>
                <w:color w:val="0D0D0D" w:themeColor="text1" w:themeTint="F2"/>
                <w:sz w:val="24"/>
                <w:szCs w:val="24"/>
              </w:rPr>
            </w:pPr>
            <w:r w:rsidRPr="004C319F">
              <w:rPr>
                <w:rFonts w:ascii="Times New Roman" w:hAnsi="Times New Roman" w:cs="Times New Roman"/>
                <w:color w:val="0D0D0D" w:themeColor="text1" w:themeTint="F2"/>
                <w:sz w:val="24"/>
                <w:szCs w:val="24"/>
              </w:rPr>
              <w:t>Commission Member</w:t>
            </w:r>
          </w:p>
        </w:tc>
      </w:tr>
      <w:tr w:rsidR="004C319F" w:rsidRPr="004C319F" w14:paraId="7DDDF400" w14:textId="77777777" w:rsidTr="00586A0C">
        <w:tc>
          <w:tcPr>
            <w:tcW w:w="5382" w:type="dxa"/>
          </w:tcPr>
          <w:p w14:paraId="3FEBA7AD"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Res. Asst. Dr. Nihan KORKMAZ</w:t>
            </w:r>
          </w:p>
        </w:tc>
        <w:tc>
          <w:tcPr>
            <w:tcW w:w="3680" w:type="dxa"/>
          </w:tcPr>
          <w:p w14:paraId="4E8C77D5" w14:textId="77777777" w:rsidR="00735871" w:rsidRPr="004C319F" w:rsidRDefault="00735871" w:rsidP="00586A0C">
            <w:pPr>
              <w:spacing w:before="120"/>
              <w:jc w:val="both"/>
              <w:rPr>
                <w:rFonts w:ascii="Times New Roman" w:hAnsi="Times New Roman" w:cs="Times New Roman"/>
                <w:b/>
                <w:color w:val="0D0D0D" w:themeColor="text1" w:themeTint="F2"/>
                <w:sz w:val="24"/>
                <w:szCs w:val="24"/>
                <w:u w:val="single"/>
              </w:rPr>
            </w:pPr>
            <w:r w:rsidRPr="004C319F">
              <w:rPr>
                <w:rFonts w:ascii="Times New Roman" w:hAnsi="Times New Roman" w:cs="Times New Roman"/>
                <w:color w:val="0D0D0D" w:themeColor="text1" w:themeTint="F2"/>
                <w:sz w:val="24"/>
                <w:szCs w:val="24"/>
              </w:rPr>
              <w:t>Rapporteur</w:t>
            </w:r>
          </w:p>
        </w:tc>
      </w:tr>
      <w:tr w:rsidR="00735871" w:rsidRPr="004C319F" w14:paraId="7042CB83" w14:textId="77777777" w:rsidTr="00586A0C">
        <w:trPr>
          <w:trHeight w:val="65"/>
        </w:trPr>
        <w:tc>
          <w:tcPr>
            <w:tcW w:w="5382" w:type="dxa"/>
          </w:tcPr>
          <w:p w14:paraId="46E6AB18" w14:textId="77777777" w:rsidR="00735871" w:rsidRPr="004C319F" w:rsidRDefault="00735871" w:rsidP="00586A0C">
            <w:pPr>
              <w:spacing w:before="120"/>
              <w:jc w:val="both"/>
              <w:rPr>
                <w:rFonts w:ascii="Times New Roman" w:hAnsi="Times New Roman" w:cs="Times New Roman"/>
                <w:color w:val="0D0D0D" w:themeColor="text1" w:themeTint="F2"/>
                <w:sz w:val="24"/>
                <w:szCs w:val="24"/>
                <w:lang w:val="en-US"/>
              </w:rPr>
            </w:pPr>
            <w:r w:rsidRPr="004C319F">
              <w:rPr>
                <w:rFonts w:ascii="Times New Roman" w:hAnsi="Times New Roman" w:cs="Times New Roman"/>
                <w:color w:val="0D0D0D" w:themeColor="text1" w:themeTint="F2"/>
                <w:sz w:val="24"/>
                <w:szCs w:val="24"/>
                <w:lang w:val="en-US"/>
              </w:rPr>
              <w:t>Res. Asst. Zeynep ÇETİNKAYA</w:t>
            </w:r>
          </w:p>
        </w:tc>
        <w:tc>
          <w:tcPr>
            <w:tcW w:w="3680" w:type="dxa"/>
          </w:tcPr>
          <w:p w14:paraId="1A3EA4BE" w14:textId="77777777" w:rsidR="00735871" w:rsidRPr="004C319F" w:rsidRDefault="00735871" w:rsidP="00586A0C">
            <w:pPr>
              <w:spacing w:before="120"/>
              <w:jc w:val="both"/>
              <w:rPr>
                <w:rFonts w:ascii="Times New Roman" w:hAnsi="Times New Roman" w:cs="Times New Roman"/>
                <w:b/>
                <w:color w:val="0D0D0D" w:themeColor="text1" w:themeTint="F2"/>
                <w:sz w:val="24"/>
                <w:szCs w:val="24"/>
                <w:u w:val="single"/>
              </w:rPr>
            </w:pPr>
            <w:r w:rsidRPr="004C319F">
              <w:rPr>
                <w:rFonts w:ascii="Times New Roman" w:hAnsi="Times New Roman" w:cs="Times New Roman"/>
                <w:color w:val="0D0D0D" w:themeColor="text1" w:themeTint="F2"/>
                <w:sz w:val="24"/>
                <w:szCs w:val="24"/>
              </w:rPr>
              <w:t>Rapporteur</w:t>
            </w:r>
          </w:p>
        </w:tc>
      </w:tr>
    </w:tbl>
    <w:p w14:paraId="4D864D29" w14:textId="77777777" w:rsidR="003E773A" w:rsidRPr="004C319F" w:rsidRDefault="003E773A" w:rsidP="003E773A">
      <w:pPr>
        <w:rPr>
          <w:color w:val="0D0D0D" w:themeColor="text1" w:themeTint="F2"/>
        </w:rPr>
      </w:pPr>
    </w:p>
    <w:p w14:paraId="344AFF61" w14:textId="77777777" w:rsidR="00A57F6D" w:rsidRPr="004C319F" w:rsidRDefault="00A57F6D" w:rsidP="00A107B4">
      <w:pPr>
        <w:spacing w:line="276" w:lineRule="auto"/>
        <w:rPr>
          <w:rFonts w:ascii="Times New Roman" w:hAnsi="Times New Roman" w:cs="Times New Roman"/>
          <w:color w:val="0D0D0D" w:themeColor="text1" w:themeTint="F2"/>
          <w:sz w:val="24"/>
          <w:szCs w:val="24"/>
        </w:rPr>
      </w:pPr>
    </w:p>
    <w:tbl>
      <w:tblPr>
        <w:tblStyle w:val="TableGrid"/>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C319F" w:rsidRPr="004C319F" w14:paraId="3D8AE6F4" w14:textId="77777777" w:rsidTr="005750C8">
        <w:tc>
          <w:tcPr>
            <w:tcW w:w="2835" w:type="dxa"/>
          </w:tcPr>
          <w:p w14:paraId="3C33EBC7" w14:textId="77777777" w:rsidR="005750C8" w:rsidRPr="004C319F" w:rsidRDefault="005750C8" w:rsidP="00C603AA">
            <w:pPr>
              <w:spacing w:line="360" w:lineRule="auto"/>
              <w:jc w:val="center"/>
              <w:rPr>
                <w:rFonts w:ascii="Times New Roman" w:hAnsi="Times New Roman" w:cs="Times New Roman"/>
                <w:color w:val="0D0D0D" w:themeColor="text1" w:themeTint="F2"/>
                <w:sz w:val="24"/>
                <w:szCs w:val="24"/>
              </w:rPr>
            </w:pPr>
          </w:p>
          <w:p w14:paraId="2EE90C55" w14:textId="77777777" w:rsidR="005750C8" w:rsidRPr="004C319F" w:rsidRDefault="005750C8" w:rsidP="005750C8">
            <w:pPr>
              <w:tabs>
                <w:tab w:val="left" w:pos="270"/>
              </w:tabs>
              <w:spacing w:line="360" w:lineRule="auto"/>
              <w:rPr>
                <w:rFonts w:ascii="Times New Roman" w:hAnsi="Times New Roman" w:cs="Times New Roman"/>
                <w:color w:val="0D0D0D" w:themeColor="text1" w:themeTint="F2"/>
                <w:sz w:val="24"/>
                <w:szCs w:val="24"/>
              </w:rPr>
            </w:pPr>
          </w:p>
        </w:tc>
      </w:tr>
    </w:tbl>
    <w:tbl>
      <w:tblPr>
        <w:tblStyle w:val="TableGrid"/>
        <w:tblpPr w:leftFromText="141" w:rightFromText="141" w:vertAnchor="text" w:horzAnchor="margin" w:tblpXSpec="center" w:tblpY="212"/>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C319F" w:rsidRPr="004C319F" w14:paraId="3F5E895C" w14:textId="77777777" w:rsidTr="008C758F">
        <w:trPr>
          <w:trHeight w:val="281"/>
        </w:trPr>
        <w:tc>
          <w:tcPr>
            <w:tcW w:w="5310" w:type="dxa"/>
          </w:tcPr>
          <w:p w14:paraId="14CB02D3" w14:textId="77777777" w:rsidR="00A043F9" w:rsidRPr="004C319F" w:rsidRDefault="00A043F9" w:rsidP="001B7FB6">
            <w:pPr>
              <w:rPr>
                <w:rFonts w:ascii="Times New Roman" w:eastAsia="Times New Roman" w:hAnsi="Times New Roman" w:cs="Times New Roman"/>
                <w:color w:val="0D0D0D" w:themeColor="text1" w:themeTint="F2"/>
              </w:rPr>
            </w:pPr>
          </w:p>
        </w:tc>
        <w:tc>
          <w:tcPr>
            <w:tcW w:w="5310" w:type="dxa"/>
          </w:tcPr>
          <w:p w14:paraId="4B380682" w14:textId="77777777" w:rsidR="00A043F9" w:rsidRPr="004C319F" w:rsidRDefault="00A043F9" w:rsidP="008C758F">
            <w:pPr>
              <w:tabs>
                <w:tab w:val="left" w:pos="1580"/>
              </w:tabs>
              <w:spacing w:line="276" w:lineRule="auto"/>
              <w:jc w:val="center"/>
              <w:rPr>
                <w:rFonts w:ascii="Times New Roman" w:eastAsia="Times New Roman" w:hAnsi="Times New Roman" w:cs="Times New Roman"/>
                <w:color w:val="0D0D0D" w:themeColor="text1" w:themeTint="F2"/>
              </w:rPr>
            </w:pPr>
          </w:p>
        </w:tc>
      </w:tr>
    </w:tbl>
    <w:p w14:paraId="28C869FC" w14:textId="77777777" w:rsidR="00A57F6D" w:rsidRPr="004C319F" w:rsidRDefault="00A57F6D" w:rsidP="00A57F6D">
      <w:pPr>
        <w:spacing w:line="276" w:lineRule="auto"/>
        <w:jc w:val="center"/>
        <w:rPr>
          <w:rFonts w:ascii="Times New Roman" w:hAnsi="Times New Roman" w:cs="Times New Roman"/>
          <w:color w:val="0D0D0D" w:themeColor="text1" w:themeTint="F2"/>
          <w:sz w:val="24"/>
          <w:szCs w:val="24"/>
        </w:rPr>
      </w:pPr>
    </w:p>
    <w:sectPr w:rsidR="00A57F6D" w:rsidRPr="004C319F" w:rsidSect="006165B3">
      <w:headerReference w:type="default" r:id="rId7"/>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09B8" w14:textId="77777777" w:rsidR="00B93C51" w:rsidRDefault="00B93C51" w:rsidP="006165B3">
      <w:pPr>
        <w:spacing w:after="0" w:line="240" w:lineRule="auto"/>
      </w:pPr>
      <w:r>
        <w:separator/>
      </w:r>
    </w:p>
  </w:endnote>
  <w:endnote w:type="continuationSeparator" w:id="0">
    <w:p w14:paraId="6529E619" w14:textId="77777777" w:rsidR="00B93C51" w:rsidRDefault="00B93C51"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9FDF" w14:textId="77777777" w:rsidR="00B93C51" w:rsidRDefault="00B93C51" w:rsidP="006165B3">
      <w:pPr>
        <w:spacing w:after="0" w:line="240" w:lineRule="auto"/>
      </w:pPr>
      <w:r>
        <w:separator/>
      </w:r>
    </w:p>
  </w:footnote>
  <w:footnote w:type="continuationSeparator" w:id="0">
    <w:p w14:paraId="3F8320A4" w14:textId="77777777" w:rsidR="00B93C51" w:rsidRDefault="00B93C51"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A676" w14:textId="77777777" w:rsidR="006165B3" w:rsidRDefault="006165B3">
    <w:pPr>
      <w:pStyle w:val="Header"/>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06F78DC4" wp14:editId="62064994">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4628BC55" w14:textId="77777777" w:rsidR="006165B3" w:rsidRDefault="0019438B" w:rsidP="0019438B">
    <w:pPr>
      <w:pStyle w:val="Header"/>
      <w:jc w:val="center"/>
    </w:pPr>
    <w:r>
      <w:rPr>
        <w:rFonts w:ascii="Times New Roman" w:hAnsi="Times New Roman" w:cs="Times New Roman"/>
        <w:b/>
        <w:caps/>
        <w:sz w:val="24"/>
        <w:szCs w:val="24"/>
        <w:lang w:val="en-US"/>
      </w:rPr>
      <w:t>T.R.</w:t>
    </w:r>
    <w:r w:rsidRPr="0019438B">
      <w:rPr>
        <w:rFonts w:ascii="Times New Roman" w:hAnsi="Times New Roman" w:cs="Times New Roman"/>
        <w:b/>
        <w:caps/>
        <w:sz w:val="24"/>
        <w:szCs w:val="24"/>
        <w:lang w:val="en-US"/>
      </w:rPr>
      <w:br/>
      <w:t>MUĞLA SITKI KOÇMAN UNIVERSITY</w:t>
    </w:r>
    <w:r w:rsidRPr="0019438B">
      <w:rPr>
        <w:rFonts w:ascii="Times New Roman" w:hAnsi="Times New Roman" w:cs="Times New Roman"/>
        <w:b/>
        <w:caps/>
        <w:sz w:val="24"/>
        <w:szCs w:val="24"/>
        <w:lang w:val="en-US"/>
      </w:rPr>
      <w:br/>
      <w:t>FACULTY OF HEALTH SCIENCES</w:t>
    </w:r>
    <w:r w:rsidRPr="0019438B">
      <w:rPr>
        <w:rFonts w:ascii="Times New Roman" w:hAnsi="Times New Roman" w:cs="Times New Roman"/>
        <w:b/>
        <w:caps/>
        <w:sz w:val="24"/>
        <w:szCs w:val="24"/>
        <w:lang w:val="en-US"/>
      </w:rPr>
      <w:br/>
      <w:t>DEPARTMENT O</w:t>
    </w:r>
    <w:r>
      <w:rPr>
        <w:rFonts w:ascii="Times New Roman" w:hAnsi="Times New Roman" w:cs="Times New Roman"/>
        <w:b/>
        <w:caps/>
        <w:sz w:val="24"/>
        <w:szCs w:val="24"/>
        <w:lang w:val="en-US"/>
      </w:rPr>
      <w:t>F NURSING</w:t>
    </w:r>
    <w:r>
      <w:rPr>
        <w:rFonts w:ascii="Times New Roman" w:hAnsi="Times New Roman" w:cs="Times New Roman"/>
        <w:b/>
        <w:caps/>
        <w:sz w:val="24"/>
        <w:szCs w:val="24"/>
        <w:lang w:val="en-US"/>
      </w:rPr>
      <w:br/>
      <w:t>EDUCATION COMMISSION</w:t>
    </w:r>
    <w:r>
      <w:rPr>
        <w:rFonts w:ascii="Times New Roman" w:hAnsi="Times New Roman" w:cs="Times New Roman"/>
        <w:b/>
        <w:caps/>
        <w:sz w:val="24"/>
        <w:szCs w:val="24"/>
        <w:lang w:val="en-US"/>
      </w:rPr>
      <w:br/>
      <w:t xml:space="preserve">            </w:t>
    </w:r>
    <w:r w:rsidRPr="0019438B">
      <w:rPr>
        <w:rFonts w:ascii="Times New Roman" w:hAnsi="Times New Roman" w:cs="Times New Roman"/>
        <w:b/>
        <w:caps/>
        <w:sz w:val="24"/>
        <w:szCs w:val="24"/>
        <w:lang w:val="en-US"/>
      </w:rPr>
      <w:t>ACTIVITY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2442F2"/>
    <w:multiLevelType w:val="hybridMultilevel"/>
    <w:tmpl w:val="EA627A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8C30C43"/>
    <w:multiLevelType w:val="hybridMultilevel"/>
    <w:tmpl w:val="0B0E6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4" w15:restartNumberingAfterBreak="0">
    <w:nsid w:val="3CB35871"/>
    <w:multiLevelType w:val="hybridMultilevel"/>
    <w:tmpl w:val="7E922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465D49"/>
    <w:multiLevelType w:val="hybridMultilevel"/>
    <w:tmpl w:val="209E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FD413E"/>
    <w:multiLevelType w:val="hybridMultilevel"/>
    <w:tmpl w:val="500C3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893289"/>
    <w:multiLevelType w:val="hybridMultilevel"/>
    <w:tmpl w:val="E0386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3D2B47"/>
    <w:multiLevelType w:val="hybridMultilevel"/>
    <w:tmpl w:val="210E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645890740">
    <w:abstractNumId w:val="0"/>
  </w:num>
  <w:num w:numId="2" w16cid:durableId="1459490283">
    <w:abstractNumId w:val="3"/>
  </w:num>
  <w:num w:numId="3" w16cid:durableId="975834995">
    <w:abstractNumId w:val="9"/>
  </w:num>
  <w:num w:numId="4" w16cid:durableId="917444858">
    <w:abstractNumId w:val="2"/>
  </w:num>
  <w:num w:numId="5" w16cid:durableId="852960391">
    <w:abstractNumId w:val="8"/>
  </w:num>
  <w:num w:numId="6" w16cid:durableId="1726290797">
    <w:abstractNumId w:val="5"/>
  </w:num>
  <w:num w:numId="7" w16cid:durableId="133064298">
    <w:abstractNumId w:val="6"/>
  </w:num>
  <w:num w:numId="8" w16cid:durableId="1316492929">
    <w:abstractNumId w:val="4"/>
  </w:num>
  <w:num w:numId="9" w16cid:durableId="505511697">
    <w:abstractNumId w:val="1"/>
  </w:num>
  <w:num w:numId="10" w16cid:durableId="1155990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17A25"/>
    <w:rsid w:val="00072D1C"/>
    <w:rsid w:val="000817FE"/>
    <w:rsid w:val="000A3C52"/>
    <w:rsid w:val="000F5D25"/>
    <w:rsid w:val="000F6085"/>
    <w:rsid w:val="001347C3"/>
    <w:rsid w:val="00150002"/>
    <w:rsid w:val="0016297D"/>
    <w:rsid w:val="0019438B"/>
    <w:rsid w:val="001A3FEB"/>
    <w:rsid w:val="001B7FB6"/>
    <w:rsid w:val="00261A7C"/>
    <w:rsid w:val="00335089"/>
    <w:rsid w:val="00374686"/>
    <w:rsid w:val="003C67CC"/>
    <w:rsid w:val="003E04CC"/>
    <w:rsid w:val="003E773A"/>
    <w:rsid w:val="003F6365"/>
    <w:rsid w:val="00424EEC"/>
    <w:rsid w:val="004623C4"/>
    <w:rsid w:val="0049763B"/>
    <w:rsid w:val="004C319F"/>
    <w:rsid w:val="004F72D1"/>
    <w:rsid w:val="004F73A2"/>
    <w:rsid w:val="00503DAB"/>
    <w:rsid w:val="00541254"/>
    <w:rsid w:val="00560520"/>
    <w:rsid w:val="005750C8"/>
    <w:rsid w:val="00605DCE"/>
    <w:rsid w:val="006165B3"/>
    <w:rsid w:val="006243E2"/>
    <w:rsid w:val="00661098"/>
    <w:rsid w:val="00676C87"/>
    <w:rsid w:val="0069512B"/>
    <w:rsid w:val="007174DD"/>
    <w:rsid w:val="00735871"/>
    <w:rsid w:val="00747781"/>
    <w:rsid w:val="007510CF"/>
    <w:rsid w:val="007E4EEE"/>
    <w:rsid w:val="00817311"/>
    <w:rsid w:val="00856783"/>
    <w:rsid w:val="00857A04"/>
    <w:rsid w:val="008622B8"/>
    <w:rsid w:val="00876D77"/>
    <w:rsid w:val="00893357"/>
    <w:rsid w:val="008C378D"/>
    <w:rsid w:val="008F64DA"/>
    <w:rsid w:val="009E5074"/>
    <w:rsid w:val="00A043F9"/>
    <w:rsid w:val="00A107B4"/>
    <w:rsid w:val="00A31B8C"/>
    <w:rsid w:val="00A52A0A"/>
    <w:rsid w:val="00A5483A"/>
    <w:rsid w:val="00A57F6D"/>
    <w:rsid w:val="00A66AA3"/>
    <w:rsid w:val="00A8565A"/>
    <w:rsid w:val="00B20F29"/>
    <w:rsid w:val="00B445D0"/>
    <w:rsid w:val="00B93C51"/>
    <w:rsid w:val="00BD2F69"/>
    <w:rsid w:val="00C210C6"/>
    <w:rsid w:val="00C36089"/>
    <w:rsid w:val="00C40388"/>
    <w:rsid w:val="00CA2ED2"/>
    <w:rsid w:val="00D20314"/>
    <w:rsid w:val="00D32640"/>
    <w:rsid w:val="00D34C53"/>
    <w:rsid w:val="00D4685A"/>
    <w:rsid w:val="00D64685"/>
    <w:rsid w:val="00D723F6"/>
    <w:rsid w:val="00DB2F55"/>
    <w:rsid w:val="00E0088E"/>
    <w:rsid w:val="00E219C3"/>
    <w:rsid w:val="00E81F5A"/>
    <w:rsid w:val="00EA3EEA"/>
    <w:rsid w:val="00F64DE6"/>
    <w:rsid w:val="00F716CF"/>
    <w:rsid w:val="00F80357"/>
    <w:rsid w:val="00FE53CC"/>
    <w:rsid w:val="00FF5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D98E"/>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616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5B3"/>
  </w:style>
  <w:style w:type="paragraph" w:styleId="Footer">
    <w:name w:val="footer"/>
    <w:basedOn w:val="Normal"/>
    <w:link w:val="FooterChar"/>
    <w:uiPriority w:val="99"/>
    <w:unhideWhenUsed/>
    <w:rsid w:val="00616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5B3"/>
  </w:style>
  <w:style w:type="table" w:styleId="TableGrid">
    <w:name w:val="Table Grid"/>
    <w:basedOn w:val="TableNormal"/>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7B4"/>
    <w:pPr>
      <w:ind w:left="720"/>
      <w:contextualSpacing/>
    </w:pPr>
  </w:style>
  <w:style w:type="table" w:customStyle="1" w:styleId="TabloKlavuzu1">
    <w:name w:val="Tablo Kılavuzu1"/>
    <w:basedOn w:val="TableNormal"/>
    <w:next w:val="TableGrid"/>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475</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Çiğdem Bilge</cp:lastModifiedBy>
  <cp:revision>28</cp:revision>
  <dcterms:created xsi:type="dcterms:W3CDTF">2024-05-23T10:51:00Z</dcterms:created>
  <dcterms:modified xsi:type="dcterms:W3CDTF">2026-01-01T09:24:00Z</dcterms:modified>
</cp:coreProperties>
</file>